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8032" w14:textId="60B0DDF2" w:rsidR="0035783A" w:rsidRPr="0035783A" w:rsidRDefault="0035783A" w:rsidP="0035783A">
      <w:pPr>
        <w:pStyle w:val="NormalWeb"/>
        <w:shd w:val="clear" w:color="auto" w:fill="FFFFFF"/>
        <w:spacing w:after="0"/>
        <w:ind w:firstLine="708"/>
        <w:jc w:val="both"/>
        <w:rPr>
          <w:b/>
          <w:lang w:val="en-US"/>
        </w:rPr>
      </w:pPr>
      <w:r w:rsidRPr="0035783A">
        <w:rPr>
          <w:b/>
          <w:bCs/>
          <w:lang w:val="en-US"/>
        </w:rPr>
        <w:t>Meeting Date:</w:t>
      </w:r>
      <w:r w:rsidRPr="0035783A">
        <w:rPr>
          <w:b/>
          <w:lang w:val="en-US"/>
        </w:rPr>
        <w:t xml:space="preserve"> 17 December 2025</w:t>
      </w:r>
      <w:r>
        <w:rPr>
          <w:b/>
          <w:lang w:val="en-US"/>
        </w:rPr>
        <w:t xml:space="preserve">                                                          </w:t>
      </w:r>
      <w:r w:rsidRPr="0035783A">
        <w:rPr>
          <w:b/>
          <w:bCs/>
          <w:lang w:val="en-US"/>
        </w:rPr>
        <w:t>Meeting No:</w:t>
      </w:r>
      <w:r w:rsidRPr="0035783A">
        <w:rPr>
          <w:b/>
          <w:lang w:val="en-US"/>
        </w:rPr>
        <w:t xml:space="preserve"> </w:t>
      </w:r>
      <w:r w:rsidR="00FB5005">
        <w:rPr>
          <w:b/>
          <w:lang w:val="en-US"/>
        </w:rPr>
        <w:t>3</w:t>
      </w:r>
    </w:p>
    <w:p w14:paraId="44099397" w14:textId="77777777" w:rsidR="008C01E0" w:rsidRDefault="008C01E0" w:rsidP="008C01E0">
      <w:pPr>
        <w:pStyle w:val="NormalWeb"/>
        <w:shd w:val="clear" w:color="auto" w:fill="FFFFFF"/>
        <w:spacing w:before="0" w:beforeAutospacing="0" w:after="0" w:afterAutospacing="0"/>
        <w:ind w:firstLine="708"/>
        <w:jc w:val="both"/>
        <w:rPr>
          <w:color w:val="000000"/>
        </w:rPr>
      </w:pPr>
    </w:p>
    <w:p w14:paraId="1FAC9E10" w14:textId="77777777" w:rsidR="0035783A" w:rsidRDefault="0035783A" w:rsidP="0035783A">
      <w:pPr>
        <w:pStyle w:val="NormalWeb"/>
        <w:shd w:val="clear" w:color="auto" w:fill="FFFFFF"/>
        <w:spacing w:after="0" w:line="276" w:lineRule="auto"/>
        <w:ind w:firstLine="708"/>
        <w:contextualSpacing/>
        <w:jc w:val="both"/>
      </w:pPr>
      <w:r>
        <w:t xml:space="preserve">On December 17, 2025, at 14:00, a meeting regarding clinical practice was held at Muğla Training and Research Hospital under the chairpersonship of Assoc. Prof. Gülşah Köse, Chair of the Education Commission, with the participation of academic staff from the Department of Nursing and representatives from the Muğla Training and Research Hospital, including the Directorate of Nursing Services, education unit coordinators, and clinical and intensive care unit nurse managers. </w:t>
      </w:r>
    </w:p>
    <w:p w14:paraId="3C38855C" w14:textId="77777777" w:rsidR="0035783A" w:rsidRPr="0035783A" w:rsidRDefault="0035783A" w:rsidP="0035783A">
      <w:pPr>
        <w:pStyle w:val="NormalWeb"/>
        <w:shd w:val="clear" w:color="auto" w:fill="FFFFFF"/>
        <w:spacing w:after="0" w:line="276" w:lineRule="auto"/>
        <w:contextualSpacing/>
        <w:jc w:val="both"/>
        <w:rPr>
          <w:u w:val="single"/>
        </w:rPr>
      </w:pPr>
      <w:r w:rsidRPr="0035783A">
        <w:rPr>
          <w:u w:val="single"/>
        </w:rPr>
        <w:t>Issues Discussed During the Meeting</w:t>
      </w:r>
    </w:p>
    <w:p w14:paraId="5F60E114" w14:textId="77777777" w:rsidR="0035783A"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 xml:space="preserve">Appreciation was expressed to all nurses who supported clinical practice activities during the 2025–2026 academic year fall semester. </w:t>
      </w:r>
    </w:p>
    <w:p w14:paraId="22A7A11F" w14:textId="77777777" w:rsidR="0035783A"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 xml:space="preserve">In line with the recommendations raised in the previous meeting, it was reported that planning had been conducted for senior students who volunteered for intensive care unit practice, and that students’ participation in clinical handover processes had been ensured. All students attending clinical practice were informed about patient rights, data security, and effective communication with health care staff, patients, and their relatives. However, due to student quotas being determined by the Council of Higher Education (CoHE), no reduction could be made in the number of students assigned to clinical settings. It was noted that, starting from the 2025–2026 academic year, CoHE reduced first-year student quotas, and if this policy continues in the coming years, it is expected to positively impact clinical practice settings by decreasing student density. </w:t>
      </w:r>
    </w:p>
    <w:p w14:paraId="13DCE879" w14:textId="77777777" w:rsidR="0035783A"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 xml:space="preserve">The importance of nurses’ feedback as key external stakeholders within the scope of quality assurance activities was emphasized, and their opinions regarding recent curriculum revisions and practice arrangements were solicited. Nurses provided positive feedback, stating that the curriculum changes contributed to the improvement of students’ clinical skills. </w:t>
      </w:r>
    </w:p>
    <w:p w14:paraId="1CCF2501" w14:textId="77777777" w:rsidR="0035783A"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 xml:space="preserve">Suggestions were received from nurses regarding the allocation of more students to day-care units, the need to re-evaluate the number of students assigned to practice units, and the challenges encountered in clinical practice—particularly in second- and third-year placements—due to high student numbers in practice areas. </w:t>
      </w:r>
    </w:p>
    <w:p w14:paraId="51CB4FEF" w14:textId="77777777" w:rsidR="0035783A"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 xml:space="preserve">Requests expressed by students during meetings with the Head of the Department of Nursing were conveyed to the nursing staff. It was emphasized that second- and third-year students, in particular, require greater support from clinical nurses, and nurses were encouraged to provide additional guidance to students during practice. </w:t>
      </w:r>
    </w:p>
    <w:p w14:paraId="315BE57F" w14:textId="3DA79796" w:rsidR="0066618D" w:rsidRPr="00AD3D20" w:rsidRDefault="0035783A" w:rsidP="0035783A">
      <w:pPr>
        <w:pStyle w:val="NormalWeb"/>
        <w:numPr>
          <w:ilvl w:val="0"/>
          <w:numId w:val="8"/>
        </w:numPr>
        <w:shd w:val="clear" w:color="auto" w:fill="FFFFFF"/>
        <w:tabs>
          <w:tab w:val="left" w:pos="426"/>
        </w:tabs>
        <w:spacing w:after="0" w:line="276" w:lineRule="auto"/>
        <w:ind w:left="284" w:firstLine="0"/>
        <w:contextualSpacing/>
        <w:jc w:val="both"/>
      </w:pPr>
      <w:r>
        <w:t>A consensus was reached among academic staff of the Department of Nursing and representatives of the Directorate of Nursing Services, education unit coordinators, and clinical and intensive care nurse managers regarding the importance of demonstrating due sensitivity to enhance students’ communication with health care professionals working in clinical practice settings.</w:t>
      </w:r>
    </w:p>
    <w:p w14:paraId="53EA4A15" w14:textId="0F026EF9" w:rsidR="0016297D" w:rsidRDefault="0035783A" w:rsidP="008C01E0">
      <w:pPr>
        <w:spacing w:before="120" w:after="120"/>
        <w:jc w:val="both"/>
        <w:rPr>
          <w:rFonts w:ascii="Times New Roman" w:hAnsi="Times New Roman" w:cs="Times New Roman"/>
          <w:b/>
          <w:sz w:val="24"/>
          <w:szCs w:val="24"/>
          <w:u w:val="single"/>
        </w:rPr>
      </w:pPr>
      <w:r w:rsidRPr="0035783A">
        <w:rPr>
          <w:rFonts w:ascii="Times New Roman" w:hAnsi="Times New Roman" w:cs="Times New Roman"/>
          <w:b/>
          <w:sz w:val="24"/>
          <w:szCs w:val="24"/>
          <w:u w:val="single"/>
        </w:rPr>
        <w:lastRenderedPageBreak/>
        <w:t>PART</w:t>
      </w:r>
      <w:r>
        <w:rPr>
          <w:rFonts w:ascii="Times New Roman" w:hAnsi="Times New Roman" w:cs="Times New Roman"/>
          <w:b/>
          <w:sz w:val="24"/>
          <w:szCs w:val="24"/>
          <w:u w:val="single"/>
        </w:rPr>
        <w:t>I</w:t>
      </w:r>
      <w:r w:rsidRPr="0035783A">
        <w:rPr>
          <w:rFonts w:ascii="Times New Roman" w:hAnsi="Times New Roman" w:cs="Times New Roman"/>
          <w:b/>
          <w:sz w:val="24"/>
          <w:szCs w:val="24"/>
          <w:u w:val="single"/>
        </w:rPr>
        <w:t>C</w:t>
      </w:r>
      <w:r>
        <w:rPr>
          <w:rFonts w:ascii="Times New Roman" w:hAnsi="Times New Roman" w:cs="Times New Roman"/>
          <w:b/>
          <w:sz w:val="24"/>
          <w:szCs w:val="24"/>
          <w:u w:val="single"/>
        </w:rPr>
        <w:t>I</w:t>
      </w:r>
      <w:r w:rsidRPr="0035783A">
        <w:rPr>
          <w:rFonts w:ascii="Times New Roman" w:hAnsi="Times New Roman" w:cs="Times New Roman"/>
          <w:b/>
          <w:sz w:val="24"/>
          <w:szCs w:val="24"/>
          <w:u w:val="single"/>
        </w:rPr>
        <w:t>PANTS</w:t>
      </w:r>
      <w:r w:rsidR="0016297D" w:rsidRPr="009F224C">
        <w:rPr>
          <w:rFonts w:ascii="Times New Roman" w:hAnsi="Times New Roman" w:cs="Times New Roman"/>
          <w:b/>
          <w:sz w:val="24"/>
          <w:szCs w:val="24"/>
          <w:u w:val="single"/>
        </w:rPr>
        <w:t>:</w:t>
      </w:r>
      <w:r w:rsidR="00ED71A3">
        <w:rPr>
          <w:rFonts w:ascii="Times New Roman" w:hAnsi="Times New Roman" w:cs="Times New Roman"/>
          <w:b/>
          <w:sz w:val="24"/>
          <w:szCs w:val="24"/>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35783A" w:rsidRPr="009D19FB" w14:paraId="55791720" w14:textId="77777777" w:rsidTr="0035783A">
        <w:tc>
          <w:tcPr>
            <w:tcW w:w="5382" w:type="dxa"/>
          </w:tcPr>
          <w:p w14:paraId="5E28E79C" w14:textId="5B1A9184" w:rsidR="0035783A" w:rsidRPr="009D19FB"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Prof. Dr. Media Subaşı Baybuğa </w:t>
            </w:r>
          </w:p>
        </w:tc>
        <w:tc>
          <w:tcPr>
            <w:tcW w:w="3680" w:type="dxa"/>
          </w:tcPr>
          <w:p w14:paraId="624A3FA9" w14:textId="2504DF0B" w:rsidR="0035783A" w:rsidRPr="009D19FB" w:rsidRDefault="0035783A" w:rsidP="0035783A">
            <w:pPr>
              <w:spacing w:before="120"/>
              <w:jc w:val="both"/>
              <w:rPr>
                <w:rFonts w:ascii="Times New Roman" w:hAnsi="Times New Roman" w:cs="Times New Roman"/>
                <w:sz w:val="24"/>
                <w:szCs w:val="24"/>
              </w:rPr>
            </w:pPr>
            <w:r w:rsidRPr="0000004D">
              <w:rPr>
                <w:rFonts w:ascii="Times New Roman" w:hAnsi="Times New Roman" w:cs="Times New Roman"/>
              </w:rPr>
              <w:t>Head of Department</w:t>
            </w:r>
          </w:p>
        </w:tc>
      </w:tr>
      <w:tr w:rsidR="0035783A" w:rsidRPr="009D19FB" w14:paraId="771A3F6C" w14:textId="77777777" w:rsidTr="0035783A">
        <w:tc>
          <w:tcPr>
            <w:tcW w:w="5382" w:type="dxa"/>
          </w:tcPr>
          <w:p w14:paraId="21791393" w14:textId="254D5576" w:rsidR="0035783A" w:rsidRPr="009D19FB"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Assoc. Prof. Gülşah Köse </w:t>
            </w:r>
          </w:p>
        </w:tc>
        <w:tc>
          <w:tcPr>
            <w:tcW w:w="3680" w:type="dxa"/>
          </w:tcPr>
          <w:p w14:paraId="3CF0A5ED" w14:textId="4C7E6704" w:rsidR="0035783A" w:rsidRPr="009D19FB" w:rsidRDefault="0035783A" w:rsidP="0035783A">
            <w:pPr>
              <w:spacing w:before="120"/>
              <w:jc w:val="both"/>
              <w:rPr>
                <w:rFonts w:ascii="Times New Roman" w:hAnsi="Times New Roman" w:cs="Times New Roman"/>
                <w:sz w:val="24"/>
                <w:szCs w:val="24"/>
              </w:rPr>
            </w:pPr>
            <w:r w:rsidRPr="0000004D">
              <w:rPr>
                <w:rFonts w:ascii="Times New Roman" w:hAnsi="Times New Roman" w:cs="Times New Roman"/>
              </w:rPr>
              <w:t>Chair of the Commission</w:t>
            </w:r>
          </w:p>
        </w:tc>
      </w:tr>
      <w:tr w:rsidR="0035783A" w:rsidRPr="009D19FB" w14:paraId="4C63B749" w14:textId="77777777" w:rsidTr="0035783A">
        <w:tc>
          <w:tcPr>
            <w:tcW w:w="5382" w:type="dxa"/>
          </w:tcPr>
          <w:p w14:paraId="478A5EB2" w14:textId="49A31988" w:rsidR="0035783A"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Prof. Dr. Sevgin Samancıoğlu Bağlama </w:t>
            </w:r>
          </w:p>
        </w:tc>
        <w:tc>
          <w:tcPr>
            <w:tcW w:w="3680" w:type="dxa"/>
          </w:tcPr>
          <w:p w14:paraId="225FB306" w14:textId="5D647B51" w:rsidR="0035783A" w:rsidRPr="009D19FB" w:rsidRDefault="0035783A" w:rsidP="0035783A">
            <w:pPr>
              <w:spacing w:before="120"/>
              <w:jc w:val="both"/>
              <w:rPr>
                <w:rFonts w:ascii="Times New Roman" w:hAnsi="Times New Roman" w:cs="Times New Roman"/>
                <w:sz w:val="24"/>
                <w:szCs w:val="24"/>
              </w:rPr>
            </w:pPr>
            <w:r w:rsidRPr="0000004D">
              <w:rPr>
                <w:rFonts w:ascii="Times New Roman" w:hAnsi="Times New Roman" w:cs="Times New Roman"/>
              </w:rPr>
              <w:t>Commission Member</w:t>
            </w:r>
          </w:p>
        </w:tc>
      </w:tr>
      <w:tr w:rsidR="0035783A" w:rsidRPr="009D19FB" w14:paraId="043D294F" w14:textId="77777777" w:rsidTr="0035783A">
        <w:tc>
          <w:tcPr>
            <w:tcW w:w="5382" w:type="dxa"/>
          </w:tcPr>
          <w:p w14:paraId="56A8D8AA" w14:textId="43F02F45" w:rsidR="0035783A" w:rsidRPr="009D19FB"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Assoc. Prof. Ayşe Kacaroğlu Vicdan </w:t>
            </w:r>
          </w:p>
        </w:tc>
        <w:tc>
          <w:tcPr>
            <w:tcW w:w="3680" w:type="dxa"/>
          </w:tcPr>
          <w:p w14:paraId="268CD7BD" w14:textId="711129FA" w:rsidR="0035783A" w:rsidRPr="009D19FB" w:rsidRDefault="0035783A" w:rsidP="0035783A">
            <w:pPr>
              <w:jc w:val="both"/>
            </w:pPr>
            <w:r w:rsidRPr="0000004D">
              <w:rPr>
                <w:rFonts w:ascii="Times New Roman" w:hAnsi="Times New Roman" w:cs="Times New Roman"/>
              </w:rPr>
              <w:t>Commission Member</w:t>
            </w:r>
          </w:p>
        </w:tc>
      </w:tr>
      <w:tr w:rsidR="0035783A" w:rsidRPr="009D19FB" w14:paraId="43BC8593" w14:textId="77777777" w:rsidTr="0035783A">
        <w:tc>
          <w:tcPr>
            <w:tcW w:w="5382" w:type="dxa"/>
          </w:tcPr>
          <w:p w14:paraId="7EED247D" w14:textId="1E1277D2" w:rsidR="0035783A" w:rsidRPr="009D19FB"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Assoc. Prof. Gülay Manav </w:t>
            </w:r>
          </w:p>
        </w:tc>
        <w:tc>
          <w:tcPr>
            <w:tcW w:w="3680" w:type="dxa"/>
          </w:tcPr>
          <w:p w14:paraId="6A9DD335" w14:textId="3DEA3636" w:rsidR="0035783A" w:rsidRPr="009D19FB" w:rsidRDefault="0035783A" w:rsidP="0035783A">
            <w:pPr>
              <w:jc w:val="both"/>
              <w:rPr>
                <w:rFonts w:ascii="Times New Roman" w:hAnsi="Times New Roman" w:cs="Times New Roman"/>
                <w:sz w:val="24"/>
                <w:szCs w:val="24"/>
              </w:rPr>
            </w:pPr>
            <w:r w:rsidRPr="0000004D">
              <w:rPr>
                <w:rFonts w:ascii="Times New Roman" w:hAnsi="Times New Roman" w:cs="Times New Roman"/>
              </w:rPr>
              <w:t>Commission Member</w:t>
            </w:r>
          </w:p>
        </w:tc>
      </w:tr>
      <w:tr w:rsidR="0035783A" w:rsidRPr="009D19FB" w14:paraId="6547AAC9" w14:textId="77777777" w:rsidTr="0035783A">
        <w:tc>
          <w:tcPr>
            <w:tcW w:w="5382" w:type="dxa"/>
          </w:tcPr>
          <w:p w14:paraId="325D32C4" w14:textId="4587D68A" w:rsidR="0035783A"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 xml:space="preserve">Asst. Prof. Havva Akpınar, PhD </w:t>
            </w:r>
          </w:p>
        </w:tc>
        <w:tc>
          <w:tcPr>
            <w:tcW w:w="3680" w:type="dxa"/>
          </w:tcPr>
          <w:p w14:paraId="3C71654A" w14:textId="37BECF3C" w:rsidR="0035783A" w:rsidRPr="009D19FB" w:rsidRDefault="0035783A" w:rsidP="0035783A">
            <w:pPr>
              <w:jc w:val="both"/>
              <w:rPr>
                <w:rFonts w:ascii="Times New Roman" w:hAnsi="Times New Roman" w:cs="Times New Roman"/>
                <w:sz w:val="24"/>
                <w:szCs w:val="24"/>
              </w:rPr>
            </w:pPr>
            <w:r w:rsidRPr="0000004D">
              <w:rPr>
                <w:rFonts w:ascii="Times New Roman" w:hAnsi="Times New Roman" w:cs="Times New Roman"/>
              </w:rPr>
              <w:t>Commission Member</w:t>
            </w:r>
          </w:p>
        </w:tc>
      </w:tr>
      <w:tr w:rsidR="0035783A" w:rsidRPr="009D19FB" w14:paraId="0BB4C989" w14:textId="77777777" w:rsidTr="0035783A">
        <w:trPr>
          <w:trHeight w:val="65"/>
        </w:trPr>
        <w:tc>
          <w:tcPr>
            <w:tcW w:w="5382" w:type="dxa"/>
          </w:tcPr>
          <w:p w14:paraId="3BA14447" w14:textId="711DB020" w:rsidR="0035783A" w:rsidRPr="009D19FB" w:rsidRDefault="0035783A" w:rsidP="0035783A">
            <w:pPr>
              <w:spacing w:before="120"/>
              <w:jc w:val="both"/>
              <w:rPr>
                <w:rFonts w:ascii="Times New Roman" w:hAnsi="Times New Roman" w:cs="Times New Roman"/>
                <w:sz w:val="24"/>
                <w:szCs w:val="24"/>
                <w:lang w:val="en-US"/>
              </w:rPr>
            </w:pPr>
            <w:r w:rsidRPr="0000004D">
              <w:rPr>
                <w:rFonts w:ascii="Times New Roman" w:hAnsi="Times New Roman" w:cs="Times New Roman"/>
              </w:rPr>
              <w:t>Asst. Prof. Cemile Çelebi, PhD</w:t>
            </w:r>
          </w:p>
        </w:tc>
        <w:tc>
          <w:tcPr>
            <w:tcW w:w="3680" w:type="dxa"/>
          </w:tcPr>
          <w:p w14:paraId="34C52F4F" w14:textId="0FCDEB69" w:rsidR="0035783A" w:rsidRPr="009D19FB" w:rsidRDefault="0035783A" w:rsidP="0035783A">
            <w:pPr>
              <w:spacing w:before="120"/>
              <w:jc w:val="both"/>
              <w:rPr>
                <w:rFonts w:ascii="Times New Roman" w:hAnsi="Times New Roman" w:cs="Times New Roman"/>
                <w:b/>
                <w:sz w:val="24"/>
                <w:szCs w:val="24"/>
                <w:u w:val="single"/>
              </w:rPr>
            </w:pPr>
          </w:p>
        </w:tc>
      </w:tr>
      <w:tr w:rsidR="0035783A" w:rsidRPr="009D19FB" w14:paraId="66DF6E64" w14:textId="77777777" w:rsidTr="0035783A">
        <w:trPr>
          <w:trHeight w:val="65"/>
        </w:trPr>
        <w:tc>
          <w:tcPr>
            <w:tcW w:w="5382" w:type="dxa"/>
          </w:tcPr>
          <w:p w14:paraId="14B8E04B" w14:textId="306850CA" w:rsidR="0035783A" w:rsidRPr="0000004D" w:rsidRDefault="0035783A" w:rsidP="0035783A">
            <w:pPr>
              <w:spacing w:before="120"/>
              <w:jc w:val="both"/>
              <w:rPr>
                <w:rFonts w:ascii="Times New Roman" w:hAnsi="Times New Roman" w:cs="Times New Roman"/>
              </w:rPr>
            </w:pPr>
            <w:r w:rsidRPr="003D70FA">
              <w:rPr>
                <w:rFonts w:ascii="Times New Roman" w:hAnsi="Times New Roman" w:cs="Times New Roman"/>
              </w:rPr>
              <w:t>Lect. Dr. Mehtap Çullu</w:t>
            </w:r>
          </w:p>
        </w:tc>
        <w:tc>
          <w:tcPr>
            <w:tcW w:w="3680" w:type="dxa"/>
          </w:tcPr>
          <w:p w14:paraId="13816A80" w14:textId="77777777" w:rsidR="0035783A" w:rsidRPr="009D19FB" w:rsidRDefault="0035783A" w:rsidP="0035783A">
            <w:pPr>
              <w:spacing w:before="120"/>
              <w:jc w:val="both"/>
              <w:rPr>
                <w:rFonts w:ascii="Times New Roman" w:hAnsi="Times New Roman" w:cs="Times New Roman"/>
                <w:sz w:val="24"/>
                <w:szCs w:val="24"/>
                <w:lang w:val="en-US"/>
              </w:rPr>
            </w:pPr>
          </w:p>
        </w:tc>
      </w:tr>
      <w:tr w:rsidR="0035783A" w:rsidRPr="009D19FB" w14:paraId="65096F71" w14:textId="77777777" w:rsidTr="0035783A">
        <w:trPr>
          <w:trHeight w:val="65"/>
        </w:trPr>
        <w:tc>
          <w:tcPr>
            <w:tcW w:w="5382" w:type="dxa"/>
          </w:tcPr>
          <w:p w14:paraId="48230BAB" w14:textId="0AFBA50C" w:rsidR="0035783A" w:rsidRPr="0000004D" w:rsidRDefault="0035783A" w:rsidP="0035783A">
            <w:pPr>
              <w:spacing w:before="120"/>
              <w:jc w:val="both"/>
              <w:rPr>
                <w:rFonts w:ascii="Times New Roman" w:hAnsi="Times New Roman" w:cs="Times New Roman"/>
              </w:rPr>
            </w:pPr>
            <w:r w:rsidRPr="003D70FA">
              <w:rPr>
                <w:rFonts w:ascii="Times New Roman" w:hAnsi="Times New Roman" w:cs="Times New Roman"/>
              </w:rPr>
              <w:t>Lect. Dr. Derya Demir Uysal</w:t>
            </w:r>
          </w:p>
        </w:tc>
        <w:tc>
          <w:tcPr>
            <w:tcW w:w="3680" w:type="dxa"/>
          </w:tcPr>
          <w:p w14:paraId="03837418" w14:textId="77777777" w:rsidR="0035783A" w:rsidRPr="009D19FB" w:rsidRDefault="0035783A" w:rsidP="0035783A">
            <w:pPr>
              <w:spacing w:before="120"/>
              <w:jc w:val="both"/>
              <w:rPr>
                <w:rFonts w:ascii="Times New Roman" w:hAnsi="Times New Roman" w:cs="Times New Roman"/>
                <w:sz w:val="24"/>
                <w:szCs w:val="24"/>
                <w:lang w:val="en-US"/>
              </w:rPr>
            </w:pPr>
          </w:p>
        </w:tc>
      </w:tr>
      <w:tr w:rsidR="0035783A" w:rsidRPr="009D19FB" w14:paraId="757B053B" w14:textId="77777777" w:rsidTr="0035783A">
        <w:trPr>
          <w:trHeight w:val="65"/>
        </w:trPr>
        <w:tc>
          <w:tcPr>
            <w:tcW w:w="5382" w:type="dxa"/>
          </w:tcPr>
          <w:p w14:paraId="5F3E5A8C" w14:textId="47E5CD8E" w:rsidR="0035783A" w:rsidRPr="0000004D" w:rsidRDefault="0035783A" w:rsidP="0035783A">
            <w:pPr>
              <w:spacing w:before="120"/>
              <w:jc w:val="both"/>
              <w:rPr>
                <w:rFonts w:ascii="Times New Roman" w:hAnsi="Times New Roman" w:cs="Times New Roman"/>
              </w:rPr>
            </w:pPr>
            <w:r w:rsidRPr="003D70FA">
              <w:rPr>
                <w:rFonts w:ascii="Times New Roman" w:hAnsi="Times New Roman" w:cs="Times New Roman"/>
              </w:rPr>
              <w:t>Lect. Gülsen Düzöz</w:t>
            </w:r>
          </w:p>
        </w:tc>
        <w:tc>
          <w:tcPr>
            <w:tcW w:w="3680" w:type="dxa"/>
          </w:tcPr>
          <w:p w14:paraId="76249BD4" w14:textId="77777777" w:rsidR="0035783A" w:rsidRPr="009D19FB" w:rsidRDefault="0035783A" w:rsidP="0035783A">
            <w:pPr>
              <w:spacing w:before="120"/>
              <w:jc w:val="both"/>
              <w:rPr>
                <w:rFonts w:ascii="Times New Roman" w:hAnsi="Times New Roman" w:cs="Times New Roman"/>
                <w:sz w:val="24"/>
                <w:szCs w:val="24"/>
                <w:lang w:val="en-US"/>
              </w:rPr>
            </w:pPr>
          </w:p>
        </w:tc>
      </w:tr>
      <w:tr w:rsidR="0035783A" w:rsidRPr="009D19FB" w14:paraId="73456EF2" w14:textId="77777777" w:rsidTr="0035783A">
        <w:trPr>
          <w:trHeight w:val="65"/>
        </w:trPr>
        <w:tc>
          <w:tcPr>
            <w:tcW w:w="5382" w:type="dxa"/>
          </w:tcPr>
          <w:p w14:paraId="6E3301E6" w14:textId="5D8F9B39" w:rsidR="0035783A" w:rsidRPr="0035783A" w:rsidRDefault="0035783A" w:rsidP="0035783A">
            <w:pPr>
              <w:spacing w:before="120"/>
              <w:jc w:val="both"/>
              <w:rPr>
                <w:rFonts w:ascii="Times New Roman" w:hAnsi="Times New Roman" w:cs="Times New Roman"/>
                <w:lang w:val="en-US"/>
              </w:rPr>
            </w:pPr>
            <w:r w:rsidRPr="0035783A">
              <w:rPr>
                <w:rFonts w:ascii="Times New Roman" w:hAnsi="Times New Roman" w:cs="Times New Roman"/>
                <w:lang w:val="en-US"/>
              </w:rPr>
              <w:t>Lect. Zeliha Olgaç</w:t>
            </w:r>
          </w:p>
        </w:tc>
        <w:tc>
          <w:tcPr>
            <w:tcW w:w="3680" w:type="dxa"/>
          </w:tcPr>
          <w:p w14:paraId="35DCD0DD" w14:textId="77777777" w:rsidR="0035783A" w:rsidRPr="009D19FB" w:rsidRDefault="0035783A" w:rsidP="0035783A">
            <w:pPr>
              <w:spacing w:before="120"/>
              <w:jc w:val="both"/>
              <w:rPr>
                <w:rFonts w:ascii="Times New Roman" w:hAnsi="Times New Roman" w:cs="Times New Roman"/>
                <w:sz w:val="24"/>
                <w:szCs w:val="24"/>
                <w:lang w:val="en-US"/>
              </w:rPr>
            </w:pPr>
          </w:p>
        </w:tc>
      </w:tr>
      <w:tr w:rsidR="0035783A" w:rsidRPr="009D19FB" w14:paraId="6377F4EC" w14:textId="77777777" w:rsidTr="0035783A">
        <w:trPr>
          <w:trHeight w:val="65"/>
        </w:trPr>
        <w:tc>
          <w:tcPr>
            <w:tcW w:w="5382" w:type="dxa"/>
          </w:tcPr>
          <w:p w14:paraId="1CA54DB6" w14:textId="6942BBA3" w:rsidR="0035783A" w:rsidRPr="0000004D" w:rsidRDefault="0035783A" w:rsidP="0035783A">
            <w:pPr>
              <w:spacing w:before="120"/>
              <w:jc w:val="both"/>
              <w:rPr>
                <w:rFonts w:ascii="Times New Roman" w:hAnsi="Times New Roman" w:cs="Times New Roman"/>
              </w:rPr>
            </w:pPr>
            <w:r w:rsidRPr="0035783A">
              <w:rPr>
                <w:rFonts w:ascii="Times New Roman" w:hAnsi="Times New Roman" w:cs="Times New Roman"/>
                <w:lang w:val="en-US"/>
              </w:rPr>
              <w:t xml:space="preserve">Res. Asst. Zeynep Çetinkaya </w:t>
            </w:r>
          </w:p>
        </w:tc>
        <w:tc>
          <w:tcPr>
            <w:tcW w:w="3680" w:type="dxa"/>
          </w:tcPr>
          <w:p w14:paraId="0CA2FAB0" w14:textId="1222083C" w:rsidR="0035783A" w:rsidRPr="009D19FB" w:rsidRDefault="0035783A" w:rsidP="0035783A">
            <w:pPr>
              <w:spacing w:before="120"/>
              <w:jc w:val="both"/>
              <w:rPr>
                <w:rFonts w:ascii="Times New Roman" w:hAnsi="Times New Roman" w:cs="Times New Roman"/>
                <w:sz w:val="24"/>
                <w:szCs w:val="24"/>
                <w:lang w:val="en-US"/>
              </w:rPr>
            </w:pPr>
            <w:r w:rsidRPr="0035783A">
              <w:rPr>
                <w:rFonts w:ascii="Times New Roman" w:hAnsi="Times New Roman" w:cs="Times New Roman"/>
                <w:sz w:val="24"/>
                <w:szCs w:val="24"/>
                <w:lang w:val="en-US"/>
              </w:rPr>
              <w:t>Rapporteur</w:t>
            </w:r>
          </w:p>
        </w:tc>
      </w:tr>
    </w:tbl>
    <w:p w14:paraId="05D705CC" w14:textId="77777777" w:rsidR="00FE4348" w:rsidRDefault="00FE4348" w:rsidP="00343333">
      <w:pPr>
        <w:rPr>
          <w:rFonts w:ascii="Times New Roman" w:hAnsi="Times New Roman" w:cs="Times New Roman"/>
          <w:b/>
          <w:bCs/>
          <w:sz w:val="24"/>
          <w:szCs w:val="24"/>
        </w:rPr>
      </w:pPr>
    </w:p>
    <w:sectPr w:rsidR="00FE4348" w:rsidSect="006165B3">
      <w:headerReference w:type="default" r:id="rId7"/>
      <w:footerReference w:type="even" r:id="rId8"/>
      <w:footerReference w:type="default" r:id="rId9"/>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7BF2" w14:textId="77777777" w:rsidR="00013F10" w:rsidRDefault="00013F10" w:rsidP="006165B3">
      <w:pPr>
        <w:spacing w:after="0" w:line="240" w:lineRule="auto"/>
      </w:pPr>
      <w:r>
        <w:separator/>
      </w:r>
    </w:p>
  </w:endnote>
  <w:endnote w:type="continuationSeparator" w:id="0">
    <w:p w14:paraId="67887C9D" w14:textId="77777777" w:rsidR="00013F10" w:rsidRDefault="00013F10"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112751"/>
      <w:docPartObj>
        <w:docPartGallery w:val="Page Numbers (Bottom of Page)"/>
        <w:docPartUnique/>
      </w:docPartObj>
    </w:sdtPr>
    <w:sdtContent>
      <w:p w14:paraId="7024B1D8" w14:textId="692B95FD" w:rsidR="001E23FD" w:rsidRDefault="001E23FD" w:rsidP="00656B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16937C" w14:textId="77777777" w:rsidR="001E23FD" w:rsidRDefault="001E23FD" w:rsidP="001E23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776864"/>
      <w:docPartObj>
        <w:docPartGallery w:val="Page Numbers (Bottom of Page)"/>
        <w:docPartUnique/>
      </w:docPartObj>
    </w:sdtPr>
    <w:sdtContent>
      <w:p w14:paraId="36AB17EE" w14:textId="7B39CAEC" w:rsidR="001E23FD" w:rsidRDefault="001E23FD" w:rsidP="00656B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01D091" w14:textId="77777777" w:rsidR="001E23FD" w:rsidRDefault="001E23FD" w:rsidP="001E23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DB66" w14:textId="77777777" w:rsidR="00013F10" w:rsidRDefault="00013F10" w:rsidP="006165B3">
      <w:pPr>
        <w:spacing w:after="0" w:line="240" w:lineRule="auto"/>
      </w:pPr>
      <w:r>
        <w:separator/>
      </w:r>
    </w:p>
  </w:footnote>
  <w:footnote w:type="continuationSeparator" w:id="0">
    <w:p w14:paraId="11CD9D8F" w14:textId="77777777" w:rsidR="00013F10" w:rsidRDefault="00013F10"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20AA" w14:textId="77777777" w:rsidR="007C2139" w:rsidRDefault="007C2139">
    <w:pPr>
      <w:pStyle w:val="Header"/>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7879D6EB" wp14:editId="7536DDD1">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7732ACED" w14:textId="77777777" w:rsidR="0035783A" w:rsidRPr="0035783A" w:rsidRDefault="0035783A" w:rsidP="0035783A">
    <w:pPr>
      <w:pStyle w:val="Header"/>
      <w:jc w:val="center"/>
      <w:rPr>
        <w:rFonts w:ascii="Times New Roman" w:hAnsi="Times New Roman" w:cs="Times New Roman"/>
        <w:b/>
        <w:bCs/>
        <w:caps/>
        <w:sz w:val="24"/>
        <w:szCs w:val="24"/>
        <w:lang w:val="en-US"/>
      </w:rPr>
    </w:pPr>
    <w:r w:rsidRPr="0035783A">
      <w:rPr>
        <w:rFonts w:ascii="Times New Roman" w:hAnsi="Times New Roman" w:cs="Times New Roman"/>
        <w:b/>
        <w:bCs/>
        <w:caps/>
        <w:sz w:val="24"/>
        <w:szCs w:val="24"/>
        <w:lang w:val="en-US"/>
      </w:rPr>
      <w:t>REPUBLIC OF TÜRKİYE</w:t>
    </w:r>
  </w:p>
  <w:p w14:paraId="6E20F429" w14:textId="77777777" w:rsidR="0035783A" w:rsidRPr="0035783A" w:rsidRDefault="0035783A" w:rsidP="0035783A">
    <w:pPr>
      <w:pStyle w:val="Header"/>
      <w:jc w:val="center"/>
      <w:rPr>
        <w:rFonts w:ascii="Times New Roman" w:hAnsi="Times New Roman" w:cs="Times New Roman"/>
        <w:b/>
        <w:caps/>
        <w:sz w:val="24"/>
        <w:szCs w:val="24"/>
        <w:lang w:val="en-US"/>
      </w:rPr>
    </w:pPr>
    <w:r w:rsidRPr="0035783A">
      <w:rPr>
        <w:rFonts w:ascii="Times New Roman" w:hAnsi="Times New Roman" w:cs="Times New Roman"/>
        <w:b/>
        <w:bCs/>
        <w:caps/>
        <w:sz w:val="24"/>
        <w:szCs w:val="24"/>
        <w:lang w:val="en-US"/>
      </w:rPr>
      <w:t>MUĞLA SITKI KOÇMAN UNIVERSITY</w:t>
    </w:r>
    <w:r w:rsidRPr="0035783A">
      <w:rPr>
        <w:rFonts w:ascii="Times New Roman" w:hAnsi="Times New Roman" w:cs="Times New Roman"/>
        <w:b/>
        <w:caps/>
        <w:sz w:val="24"/>
        <w:szCs w:val="24"/>
        <w:lang w:val="en-US"/>
      </w:rPr>
      <w:br/>
    </w:r>
    <w:r w:rsidRPr="0035783A">
      <w:rPr>
        <w:rFonts w:ascii="Times New Roman" w:hAnsi="Times New Roman" w:cs="Times New Roman"/>
        <w:b/>
        <w:bCs/>
        <w:caps/>
        <w:sz w:val="24"/>
        <w:szCs w:val="24"/>
        <w:lang w:val="en-US"/>
      </w:rPr>
      <w:t>FACULTY OF HEALTH SCIENCES</w:t>
    </w:r>
    <w:r w:rsidRPr="0035783A">
      <w:rPr>
        <w:rFonts w:ascii="Times New Roman" w:hAnsi="Times New Roman" w:cs="Times New Roman"/>
        <w:b/>
        <w:caps/>
        <w:sz w:val="24"/>
        <w:szCs w:val="24"/>
        <w:lang w:val="en-US"/>
      </w:rPr>
      <w:br/>
    </w:r>
    <w:r w:rsidRPr="0035783A">
      <w:rPr>
        <w:rFonts w:ascii="Times New Roman" w:hAnsi="Times New Roman" w:cs="Times New Roman"/>
        <w:b/>
        <w:bCs/>
        <w:caps/>
        <w:sz w:val="24"/>
        <w:szCs w:val="24"/>
        <w:lang w:val="en-US"/>
      </w:rPr>
      <w:t>DEPARTMENT OF NURSING</w:t>
    </w:r>
    <w:r w:rsidRPr="0035783A">
      <w:rPr>
        <w:rFonts w:ascii="Times New Roman" w:hAnsi="Times New Roman" w:cs="Times New Roman"/>
        <w:b/>
        <w:caps/>
        <w:sz w:val="24"/>
        <w:szCs w:val="24"/>
        <w:lang w:val="en-US"/>
      </w:rPr>
      <w:br/>
    </w:r>
    <w:r w:rsidRPr="0035783A">
      <w:rPr>
        <w:rFonts w:ascii="Times New Roman" w:hAnsi="Times New Roman" w:cs="Times New Roman"/>
        <w:b/>
        <w:bCs/>
        <w:caps/>
        <w:sz w:val="24"/>
        <w:szCs w:val="24"/>
        <w:lang w:val="en-US"/>
      </w:rPr>
      <w:t>EDUCATION COMMISSION</w:t>
    </w:r>
  </w:p>
  <w:p w14:paraId="0143B0AD" w14:textId="77777777" w:rsidR="0035783A" w:rsidRPr="0035783A" w:rsidRDefault="0035783A" w:rsidP="0035783A">
    <w:pPr>
      <w:pStyle w:val="Header"/>
      <w:jc w:val="center"/>
      <w:rPr>
        <w:rFonts w:ascii="Times New Roman" w:hAnsi="Times New Roman" w:cs="Times New Roman"/>
        <w:b/>
        <w:bCs/>
        <w:caps/>
        <w:sz w:val="24"/>
        <w:szCs w:val="24"/>
        <w:lang w:val="en-US"/>
      </w:rPr>
    </w:pPr>
    <w:r w:rsidRPr="0035783A">
      <w:rPr>
        <w:rFonts w:ascii="Times New Roman" w:hAnsi="Times New Roman" w:cs="Times New Roman"/>
        <w:b/>
        <w:bCs/>
        <w:caps/>
        <w:sz w:val="24"/>
        <w:szCs w:val="24"/>
        <w:lang w:val="en-US"/>
      </w:rPr>
      <w:t>ACTIVITY REPORT</w:t>
    </w:r>
  </w:p>
  <w:p w14:paraId="11169695" w14:textId="77777777" w:rsidR="007C2139" w:rsidRDefault="007C2139" w:rsidP="003578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0CF0"/>
    <w:multiLevelType w:val="hybridMultilevel"/>
    <w:tmpl w:val="B8A4E094"/>
    <w:lvl w:ilvl="0" w:tplc="0F2A3BC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BA49B1"/>
    <w:multiLevelType w:val="hybridMultilevel"/>
    <w:tmpl w:val="3F783C86"/>
    <w:lvl w:ilvl="0" w:tplc="66EC0666">
      <w:start w:val="1"/>
      <w:numFmt w:val="bullet"/>
      <w:lvlText w:val=""/>
      <w:lvlJc w:val="left"/>
      <w:pPr>
        <w:ind w:left="720" w:hanging="360"/>
      </w:pPr>
      <w:rPr>
        <w:rFonts w:ascii="Symbol" w:hAnsi="Symbol"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285C94"/>
    <w:multiLevelType w:val="hybridMultilevel"/>
    <w:tmpl w:val="A808D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390771D4"/>
    <w:multiLevelType w:val="hybridMultilevel"/>
    <w:tmpl w:val="5726BF8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6CF94D42"/>
    <w:multiLevelType w:val="hybridMultilevel"/>
    <w:tmpl w:val="3F4CB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35701920">
    <w:abstractNumId w:val="1"/>
  </w:num>
  <w:num w:numId="2" w16cid:durableId="574049346">
    <w:abstractNumId w:val="4"/>
  </w:num>
  <w:num w:numId="3" w16cid:durableId="231894042">
    <w:abstractNumId w:val="7"/>
  </w:num>
  <w:num w:numId="4" w16cid:durableId="1943226090">
    <w:abstractNumId w:val="6"/>
  </w:num>
  <w:num w:numId="5" w16cid:durableId="179706957">
    <w:abstractNumId w:val="2"/>
  </w:num>
  <w:num w:numId="6" w16cid:durableId="522742963">
    <w:abstractNumId w:val="3"/>
  </w:num>
  <w:num w:numId="7" w16cid:durableId="883442290">
    <w:abstractNumId w:val="0"/>
  </w:num>
  <w:num w:numId="8" w16cid:durableId="1657342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13F10"/>
    <w:rsid w:val="00024E45"/>
    <w:rsid w:val="000302A6"/>
    <w:rsid w:val="000446DE"/>
    <w:rsid w:val="00072D1C"/>
    <w:rsid w:val="000817FE"/>
    <w:rsid w:val="00086F51"/>
    <w:rsid w:val="00097893"/>
    <w:rsid w:val="000A3C52"/>
    <w:rsid w:val="000E787D"/>
    <w:rsid w:val="000F5D25"/>
    <w:rsid w:val="000F6085"/>
    <w:rsid w:val="00150002"/>
    <w:rsid w:val="00150CD1"/>
    <w:rsid w:val="0016297D"/>
    <w:rsid w:val="00194B4D"/>
    <w:rsid w:val="001A3FEB"/>
    <w:rsid w:val="001E23FD"/>
    <w:rsid w:val="00231339"/>
    <w:rsid w:val="00257F9D"/>
    <w:rsid w:val="00261A7C"/>
    <w:rsid w:val="002764FE"/>
    <w:rsid w:val="00296764"/>
    <w:rsid w:val="002D1623"/>
    <w:rsid w:val="00300482"/>
    <w:rsid w:val="00343333"/>
    <w:rsid w:val="003449AD"/>
    <w:rsid w:val="0035783A"/>
    <w:rsid w:val="00395D4D"/>
    <w:rsid w:val="003E04CC"/>
    <w:rsid w:val="003E773A"/>
    <w:rsid w:val="003F4487"/>
    <w:rsid w:val="003F6365"/>
    <w:rsid w:val="00407A80"/>
    <w:rsid w:val="0044343D"/>
    <w:rsid w:val="00460CE0"/>
    <w:rsid w:val="0047772F"/>
    <w:rsid w:val="0049763B"/>
    <w:rsid w:val="00503DAB"/>
    <w:rsid w:val="00533373"/>
    <w:rsid w:val="00560520"/>
    <w:rsid w:val="005750C8"/>
    <w:rsid w:val="005F400E"/>
    <w:rsid w:val="00604172"/>
    <w:rsid w:val="00605DCE"/>
    <w:rsid w:val="006165B3"/>
    <w:rsid w:val="006243E2"/>
    <w:rsid w:val="00661098"/>
    <w:rsid w:val="0066618D"/>
    <w:rsid w:val="00676C87"/>
    <w:rsid w:val="0068156E"/>
    <w:rsid w:val="0069512B"/>
    <w:rsid w:val="006F1805"/>
    <w:rsid w:val="006F3839"/>
    <w:rsid w:val="00706026"/>
    <w:rsid w:val="007510CF"/>
    <w:rsid w:val="00756469"/>
    <w:rsid w:val="00784A5F"/>
    <w:rsid w:val="007B725B"/>
    <w:rsid w:val="007C2139"/>
    <w:rsid w:val="007C67BD"/>
    <w:rsid w:val="007D59F3"/>
    <w:rsid w:val="007E4EEE"/>
    <w:rsid w:val="00817311"/>
    <w:rsid w:val="00856783"/>
    <w:rsid w:val="00857A04"/>
    <w:rsid w:val="008622B8"/>
    <w:rsid w:val="00863D98"/>
    <w:rsid w:val="00876D77"/>
    <w:rsid w:val="008A252D"/>
    <w:rsid w:val="008A43AD"/>
    <w:rsid w:val="008B7593"/>
    <w:rsid w:val="008C01E0"/>
    <w:rsid w:val="008C378D"/>
    <w:rsid w:val="008D091E"/>
    <w:rsid w:val="008F64DA"/>
    <w:rsid w:val="008F7A8A"/>
    <w:rsid w:val="00920ECE"/>
    <w:rsid w:val="0096093A"/>
    <w:rsid w:val="00985913"/>
    <w:rsid w:val="00995073"/>
    <w:rsid w:val="009D0E16"/>
    <w:rsid w:val="009D19FB"/>
    <w:rsid w:val="009E5074"/>
    <w:rsid w:val="00A107B4"/>
    <w:rsid w:val="00A12BA9"/>
    <w:rsid w:val="00A52A0A"/>
    <w:rsid w:val="00A57F6D"/>
    <w:rsid w:val="00A66AA3"/>
    <w:rsid w:val="00A83F98"/>
    <w:rsid w:val="00A8565A"/>
    <w:rsid w:val="00AA3BDD"/>
    <w:rsid w:val="00AD3D20"/>
    <w:rsid w:val="00AE5252"/>
    <w:rsid w:val="00B20F29"/>
    <w:rsid w:val="00B445D0"/>
    <w:rsid w:val="00B642A6"/>
    <w:rsid w:val="00BC599B"/>
    <w:rsid w:val="00BD2F69"/>
    <w:rsid w:val="00C210C6"/>
    <w:rsid w:val="00C2126F"/>
    <w:rsid w:val="00C36089"/>
    <w:rsid w:val="00C40388"/>
    <w:rsid w:val="00C5341D"/>
    <w:rsid w:val="00C63190"/>
    <w:rsid w:val="00C80F0C"/>
    <w:rsid w:val="00C863A8"/>
    <w:rsid w:val="00CA2ED2"/>
    <w:rsid w:val="00D11F18"/>
    <w:rsid w:val="00D20314"/>
    <w:rsid w:val="00D723F6"/>
    <w:rsid w:val="00D744EE"/>
    <w:rsid w:val="00D961BB"/>
    <w:rsid w:val="00DA29A6"/>
    <w:rsid w:val="00DA5968"/>
    <w:rsid w:val="00DF2E81"/>
    <w:rsid w:val="00E44EEB"/>
    <w:rsid w:val="00E6423A"/>
    <w:rsid w:val="00E81F5A"/>
    <w:rsid w:val="00E96AF0"/>
    <w:rsid w:val="00ED71A3"/>
    <w:rsid w:val="00EE08D4"/>
    <w:rsid w:val="00F14EB9"/>
    <w:rsid w:val="00F25F51"/>
    <w:rsid w:val="00F4343B"/>
    <w:rsid w:val="00F64DE6"/>
    <w:rsid w:val="00F71515"/>
    <w:rsid w:val="00F80F6E"/>
    <w:rsid w:val="00FB5005"/>
    <w:rsid w:val="00FD4210"/>
    <w:rsid w:val="00FE4348"/>
    <w:rsid w:val="00FF56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4C506"/>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616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5B3"/>
  </w:style>
  <w:style w:type="paragraph" w:styleId="Footer">
    <w:name w:val="footer"/>
    <w:basedOn w:val="Normal"/>
    <w:link w:val="FooterChar"/>
    <w:uiPriority w:val="99"/>
    <w:unhideWhenUsed/>
    <w:rsid w:val="00616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5B3"/>
  </w:style>
  <w:style w:type="table" w:styleId="TableGrid">
    <w:name w:val="Table Grid"/>
    <w:basedOn w:val="TableNormal"/>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7B4"/>
    <w:pPr>
      <w:ind w:left="720"/>
      <w:contextualSpacing/>
    </w:pPr>
  </w:style>
  <w:style w:type="table" w:customStyle="1" w:styleId="TabloKlavuzu1">
    <w:name w:val="Tablo Kılavuzu1"/>
    <w:basedOn w:val="TableNormal"/>
    <w:next w:val="TableGrid"/>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446572">
      <w:bodyDiv w:val="1"/>
      <w:marLeft w:val="0"/>
      <w:marRight w:val="0"/>
      <w:marTop w:val="0"/>
      <w:marBottom w:val="0"/>
      <w:divBdr>
        <w:top w:val="none" w:sz="0" w:space="0" w:color="auto"/>
        <w:left w:val="none" w:sz="0" w:space="0" w:color="auto"/>
        <w:bottom w:val="none" w:sz="0" w:space="0" w:color="auto"/>
        <w:right w:val="none" w:sz="0" w:space="0" w:color="auto"/>
      </w:divBdr>
    </w:div>
    <w:div w:id="18778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Çiğdem Bilge</cp:lastModifiedBy>
  <cp:revision>3</cp:revision>
  <dcterms:created xsi:type="dcterms:W3CDTF">2025-12-30T08:47:00Z</dcterms:created>
  <dcterms:modified xsi:type="dcterms:W3CDTF">2025-12-30T08:58:00Z</dcterms:modified>
</cp:coreProperties>
</file>